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9D" w:rsidRDefault="00D473AA">
      <w:pPr>
        <w:pStyle w:val="BodyText"/>
        <w:rPr>
          <w:sz w:val="20"/>
        </w:rPr>
      </w:pPr>
      <w:r>
        <w:rPr>
          <w:noProof/>
          <w:sz w:val="20"/>
          <w:lang w:val="en-IN" w:eastAsia="en-IN"/>
        </w:rPr>
        <w:drawing>
          <wp:inline distT="0" distB="0" distL="0" distR="0">
            <wp:extent cx="781513" cy="11505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81513" cy="1150524"/>
                    </a:xfrm>
                    <a:prstGeom prst="rect">
                      <a:avLst/>
                    </a:prstGeom>
                  </pic:spPr>
                </pic:pic>
              </a:graphicData>
            </a:graphic>
          </wp:inline>
        </w:drawing>
      </w:r>
    </w:p>
    <w:p w:rsidR="00381E9D" w:rsidRDefault="00381E9D">
      <w:pPr>
        <w:pStyle w:val="BodyText"/>
        <w:spacing w:before="30"/>
        <w:ind w:left="0"/>
      </w:pPr>
    </w:p>
    <w:p w:rsidR="00381E9D" w:rsidRDefault="00D473AA">
      <w:pPr>
        <w:spacing w:line="360" w:lineRule="auto"/>
        <w:ind w:left="100" w:right="118"/>
        <w:jc w:val="both"/>
        <w:rPr>
          <w:i/>
          <w:sz w:val="24"/>
        </w:rPr>
      </w:pPr>
      <w:r>
        <w:rPr>
          <w:b/>
          <w:sz w:val="24"/>
        </w:rPr>
        <w:t>3.1.1:</w:t>
      </w:r>
      <w:r>
        <w:rPr>
          <w:b/>
          <w:spacing w:val="-3"/>
          <w:sz w:val="24"/>
        </w:rPr>
        <w:t xml:space="preserve"> </w:t>
      </w:r>
      <w:r>
        <w:rPr>
          <w:i/>
          <w:sz w:val="24"/>
        </w:rPr>
        <w:t>The</w:t>
      </w:r>
      <w:r>
        <w:rPr>
          <w:i/>
          <w:spacing w:val="-3"/>
          <w:sz w:val="24"/>
        </w:rPr>
        <w:t xml:space="preserve"> </w:t>
      </w:r>
      <w:r>
        <w:rPr>
          <w:i/>
          <w:sz w:val="24"/>
        </w:rPr>
        <w:t>institution’s</w:t>
      </w:r>
      <w:r>
        <w:rPr>
          <w:i/>
          <w:spacing w:val="-3"/>
          <w:sz w:val="24"/>
        </w:rPr>
        <w:t xml:space="preserve"> </w:t>
      </w:r>
      <w:r>
        <w:rPr>
          <w:i/>
          <w:sz w:val="24"/>
        </w:rPr>
        <w:t>Research</w:t>
      </w:r>
      <w:r>
        <w:rPr>
          <w:i/>
          <w:spacing w:val="-2"/>
          <w:sz w:val="24"/>
        </w:rPr>
        <w:t xml:space="preserve"> </w:t>
      </w:r>
      <w:r>
        <w:rPr>
          <w:i/>
          <w:sz w:val="24"/>
        </w:rPr>
        <w:t>facilities</w:t>
      </w:r>
      <w:r>
        <w:rPr>
          <w:i/>
          <w:spacing w:val="-3"/>
          <w:sz w:val="24"/>
        </w:rPr>
        <w:t xml:space="preserve"> </w:t>
      </w:r>
      <w:r>
        <w:rPr>
          <w:i/>
          <w:sz w:val="24"/>
        </w:rPr>
        <w:t>are</w:t>
      </w:r>
      <w:r>
        <w:rPr>
          <w:i/>
          <w:spacing w:val="-3"/>
          <w:sz w:val="24"/>
        </w:rPr>
        <w:t xml:space="preserve"> </w:t>
      </w:r>
      <w:r>
        <w:rPr>
          <w:i/>
          <w:sz w:val="24"/>
        </w:rPr>
        <w:t>frequently</w:t>
      </w:r>
      <w:r>
        <w:rPr>
          <w:i/>
          <w:spacing w:val="-3"/>
          <w:sz w:val="24"/>
        </w:rPr>
        <w:t xml:space="preserve"> </w:t>
      </w:r>
      <w:r>
        <w:rPr>
          <w:i/>
          <w:sz w:val="24"/>
        </w:rPr>
        <w:t>updated</w:t>
      </w:r>
      <w:r>
        <w:rPr>
          <w:i/>
          <w:spacing w:val="-2"/>
          <w:sz w:val="24"/>
        </w:rPr>
        <w:t xml:space="preserve"> </w:t>
      </w:r>
      <w:r>
        <w:rPr>
          <w:i/>
          <w:sz w:val="24"/>
        </w:rPr>
        <w:t>and</w:t>
      </w:r>
      <w:r>
        <w:rPr>
          <w:i/>
          <w:spacing w:val="40"/>
          <w:sz w:val="24"/>
        </w:rPr>
        <w:t xml:space="preserve"> </w:t>
      </w:r>
      <w:r>
        <w:rPr>
          <w:i/>
          <w:sz w:val="24"/>
        </w:rPr>
        <w:t>there</w:t>
      </w:r>
      <w:r>
        <w:rPr>
          <w:i/>
          <w:spacing w:val="-3"/>
          <w:sz w:val="24"/>
        </w:rPr>
        <w:t xml:space="preserve"> </w:t>
      </w:r>
      <w:r>
        <w:rPr>
          <w:i/>
          <w:sz w:val="24"/>
        </w:rPr>
        <w:t>is</w:t>
      </w:r>
      <w:r>
        <w:rPr>
          <w:i/>
          <w:spacing w:val="40"/>
          <w:sz w:val="24"/>
        </w:rPr>
        <w:t xml:space="preserve"> </w:t>
      </w:r>
      <w:r>
        <w:rPr>
          <w:i/>
          <w:sz w:val="24"/>
        </w:rPr>
        <w:t>a well-defined policy for promotion of research which</w:t>
      </w:r>
      <w:r>
        <w:rPr>
          <w:i/>
          <w:spacing w:val="40"/>
          <w:sz w:val="24"/>
        </w:rPr>
        <w:t xml:space="preserve"> </w:t>
      </w:r>
      <w:r>
        <w:rPr>
          <w:i/>
          <w:sz w:val="24"/>
        </w:rPr>
        <w:t xml:space="preserve">is uploaded on the institutional website and </w:t>
      </w:r>
      <w:r>
        <w:rPr>
          <w:i/>
          <w:spacing w:val="-2"/>
          <w:sz w:val="24"/>
        </w:rPr>
        <w:t>implemented:</w:t>
      </w:r>
    </w:p>
    <w:p w:rsidR="00381E9D" w:rsidRDefault="00D473AA">
      <w:pPr>
        <w:pStyle w:val="BodyText"/>
        <w:spacing w:before="163" w:line="360" w:lineRule="auto"/>
        <w:ind w:right="118"/>
        <w:jc w:val="both"/>
      </w:pPr>
      <w:r>
        <w:t>The Centurion University of Technology and Management (CUTM) is actively involved in research in the fields of science, engineering, technology, health sciences and humanities to enrich the present knowledge through lab-to-land and land-to-lab model. The o</w:t>
      </w:r>
      <w:r>
        <w:t>bjectives of research</w:t>
      </w:r>
      <w:r>
        <w:rPr>
          <w:spacing w:val="-7"/>
        </w:rPr>
        <w:t xml:space="preserve"> </w:t>
      </w:r>
      <w:r>
        <w:t>at</w:t>
      </w:r>
      <w:r>
        <w:rPr>
          <w:spacing w:val="-6"/>
        </w:rPr>
        <w:t xml:space="preserve"> </w:t>
      </w:r>
      <w:r>
        <w:t>CUTM</w:t>
      </w:r>
      <w:r>
        <w:rPr>
          <w:spacing w:val="-7"/>
        </w:rPr>
        <w:t xml:space="preserve"> </w:t>
      </w:r>
      <w:r>
        <w:t>are</w:t>
      </w:r>
      <w:r>
        <w:rPr>
          <w:spacing w:val="-9"/>
        </w:rPr>
        <w:t xml:space="preserve"> </w:t>
      </w:r>
      <w:r>
        <w:t>knowledge</w:t>
      </w:r>
      <w:r>
        <w:rPr>
          <w:spacing w:val="-5"/>
        </w:rPr>
        <w:t xml:space="preserve"> </w:t>
      </w:r>
      <w:r>
        <w:t>generation,</w:t>
      </w:r>
      <w:r>
        <w:rPr>
          <w:spacing w:val="-7"/>
        </w:rPr>
        <w:t xml:space="preserve"> </w:t>
      </w:r>
      <w:r>
        <w:t>evidence-based</w:t>
      </w:r>
      <w:r>
        <w:rPr>
          <w:spacing w:val="-7"/>
        </w:rPr>
        <w:t xml:space="preserve"> </w:t>
      </w:r>
      <w:r>
        <w:t>advocacy,</w:t>
      </w:r>
      <w:r>
        <w:rPr>
          <w:spacing w:val="-7"/>
        </w:rPr>
        <w:t xml:space="preserve"> </w:t>
      </w:r>
      <w:r>
        <w:t>experiential</w:t>
      </w:r>
      <w:r>
        <w:rPr>
          <w:spacing w:val="-6"/>
        </w:rPr>
        <w:t xml:space="preserve"> </w:t>
      </w:r>
      <w:r>
        <w:t>learning, strengthening the curriculum and sustainable product/patent development in line with SDGs.</w:t>
      </w:r>
    </w:p>
    <w:p w:rsidR="00381E9D" w:rsidRDefault="00D473AA">
      <w:pPr>
        <w:pStyle w:val="BodyText"/>
        <w:spacing w:before="160" w:line="360" w:lineRule="auto"/>
        <w:ind w:right="114"/>
        <w:jc w:val="both"/>
      </w:pPr>
      <w:r>
        <w:t>At the department level, the quality assurance, progress evaluation and research outcome are assessed by the Departmental Research Committee. To promote</w:t>
      </w:r>
      <w:r>
        <w:rPr>
          <w:spacing w:val="-9"/>
        </w:rPr>
        <w:t xml:space="preserve"> </w:t>
      </w:r>
      <w:r>
        <w:t>high</w:t>
      </w:r>
      <w:r>
        <w:rPr>
          <w:spacing w:val="-8"/>
        </w:rPr>
        <w:t xml:space="preserve"> </w:t>
      </w:r>
      <w:r>
        <w:t>quality</w:t>
      </w:r>
      <w:r>
        <w:rPr>
          <w:spacing w:val="-12"/>
        </w:rPr>
        <w:t xml:space="preserve"> </w:t>
      </w:r>
      <w:r>
        <w:t>researc</w:t>
      </w:r>
      <w:r>
        <w:t>h</w:t>
      </w:r>
      <w:r>
        <w:rPr>
          <w:spacing w:val="-8"/>
        </w:rPr>
        <w:t xml:space="preserve"> </w:t>
      </w:r>
      <w:r>
        <w:t>aligned</w:t>
      </w:r>
      <w:r>
        <w:rPr>
          <w:spacing w:val="-6"/>
        </w:rPr>
        <w:t xml:space="preserve"> </w:t>
      </w:r>
      <w:r>
        <w:t>with</w:t>
      </w:r>
      <w:r>
        <w:rPr>
          <w:spacing w:val="-8"/>
        </w:rPr>
        <w:t xml:space="preserve"> </w:t>
      </w:r>
      <w:r>
        <w:t>the</w:t>
      </w:r>
      <w:r>
        <w:rPr>
          <w:spacing w:val="-9"/>
        </w:rPr>
        <w:t xml:space="preserve"> </w:t>
      </w:r>
      <w:r>
        <w:t>UN</w:t>
      </w:r>
      <w:r>
        <w:rPr>
          <w:spacing w:val="-7"/>
        </w:rPr>
        <w:t xml:space="preserve"> </w:t>
      </w:r>
      <w:r>
        <w:t>sustainable</w:t>
      </w:r>
      <w:r>
        <w:rPr>
          <w:spacing w:val="-9"/>
        </w:rPr>
        <w:t xml:space="preserve"> </w:t>
      </w:r>
      <w:r>
        <w:t>development</w:t>
      </w:r>
      <w:r>
        <w:rPr>
          <w:spacing w:val="-6"/>
        </w:rPr>
        <w:t xml:space="preserve"> </w:t>
      </w:r>
      <w:r>
        <w:t>goals</w:t>
      </w:r>
      <w:r>
        <w:rPr>
          <w:spacing w:val="-8"/>
        </w:rPr>
        <w:t xml:space="preserve"> </w:t>
      </w:r>
      <w:r>
        <w:t>(SDGs),</w:t>
      </w:r>
      <w:r>
        <w:rPr>
          <w:spacing w:val="-9"/>
        </w:rPr>
        <w:t xml:space="preserve"> </w:t>
      </w:r>
      <w:r>
        <w:t xml:space="preserve">the </w:t>
      </w:r>
      <w:hyperlink r:id="rId5">
        <w:r>
          <w:rPr>
            <w:b/>
            <w:color w:val="0462C1"/>
            <w:u w:val="single" w:color="0462C1"/>
          </w:rPr>
          <w:t>21</w:t>
        </w:r>
        <w:r>
          <w:rPr>
            <w:b/>
            <w:color w:val="0462C1"/>
            <w:spacing w:val="-15"/>
            <w:u w:val="single" w:color="0462C1"/>
          </w:rPr>
          <w:t xml:space="preserve"> </w:t>
        </w:r>
        <w:r>
          <w:rPr>
            <w:b/>
            <w:color w:val="0462C1"/>
            <w:u w:val="single" w:color="0462C1"/>
          </w:rPr>
          <w:t>Research</w:t>
        </w:r>
        <w:r>
          <w:rPr>
            <w:b/>
            <w:color w:val="0462C1"/>
            <w:spacing w:val="-15"/>
            <w:u w:val="single" w:color="0462C1"/>
          </w:rPr>
          <w:t xml:space="preserve"> </w:t>
        </w:r>
        <w:proofErr w:type="spellStart"/>
        <w:r>
          <w:rPr>
            <w:b/>
            <w:color w:val="0462C1"/>
            <w:u w:val="single" w:color="0462C1"/>
          </w:rPr>
          <w:t>Centres</w:t>
        </w:r>
        <w:proofErr w:type="spellEnd"/>
        <w:r>
          <w:rPr>
            <w:b/>
            <w:color w:val="0462C1"/>
            <w:spacing w:val="-15"/>
            <w:u w:val="single" w:color="0462C1"/>
          </w:rPr>
          <w:t xml:space="preserve"> </w:t>
        </w:r>
        <w:r>
          <w:rPr>
            <w:b/>
            <w:color w:val="0462C1"/>
            <w:u w:val="single" w:color="0462C1"/>
          </w:rPr>
          <w:t>(RCs)</w:t>
        </w:r>
      </w:hyperlink>
      <w:r>
        <w:rPr>
          <w:b/>
          <w:color w:val="0462C1"/>
          <w:spacing w:val="-15"/>
        </w:rPr>
        <w:t xml:space="preserve"> </w:t>
      </w:r>
      <w:r>
        <w:rPr>
          <w:b/>
        </w:rPr>
        <w:t>are</w:t>
      </w:r>
      <w:r>
        <w:rPr>
          <w:b/>
          <w:spacing w:val="-15"/>
        </w:rPr>
        <w:t xml:space="preserve"> </w:t>
      </w:r>
      <w:r>
        <w:rPr>
          <w:b/>
        </w:rPr>
        <w:t>established</w:t>
      </w:r>
      <w:r>
        <w:rPr>
          <w:b/>
          <w:spacing w:val="-15"/>
        </w:rPr>
        <w:t xml:space="preserve"> </w:t>
      </w:r>
      <w:r>
        <w:rPr>
          <w:b/>
        </w:rPr>
        <w:t>in</w:t>
      </w:r>
      <w:r>
        <w:rPr>
          <w:b/>
          <w:spacing w:val="-14"/>
        </w:rPr>
        <w:t xml:space="preserve"> </w:t>
      </w:r>
      <w:r>
        <w:rPr>
          <w:b/>
        </w:rPr>
        <w:t>August</w:t>
      </w:r>
      <w:r>
        <w:rPr>
          <w:b/>
          <w:spacing w:val="-15"/>
        </w:rPr>
        <w:t xml:space="preserve"> </w:t>
      </w:r>
      <w:r>
        <w:rPr>
          <w:b/>
        </w:rPr>
        <w:t>2020</w:t>
      </w:r>
      <w:r>
        <w:rPr>
          <w:b/>
          <w:spacing w:val="-14"/>
        </w:rPr>
        <w:t xml:space="preserve"> </w:t>
      </w:r>
      <w:r>
        <w:t>following</w:t>
      </w:r>
      <w:r>
        <w:rPr>
          <w:spacing w:val="-15"/>
        </w:rPr>
        <w:t xml:space="preserve"> </w:t>
      </w:r>
      <w:r>
        <w:t>the</w:t>
      </w:r>
      <w:r>
        <w:rPr>
          <w:spacing w:val="-15"/>
        </w:rPr>
        <w:t xml:space="preserve"> </w:t>
      </w:r>
      <w:hyperlink r:id="rId6">
        <w:r>
          <w:rPr>
            <w:color w:val="0462C1"/>
            <w:u w:val="thick" w:color="0462C1"/>
          </w:rPr>
          <w:t>‘</w:t>
        </w:r>
        <w:r>
          <w:rPr>
            <w:b/>
            <w:color w:val="0462C1"/>
            <w:u w:val="thick" w:color="0462C1"/>
          </w:rPr>
          <w:t>CUTM</w:t>
        </w:r>
        <w:r>
          <w:rPr>
            <w:b/>
            <w:color w:val="0462C1"/>
            <w:spacing w:val="-15"/>
            <w:u w:val="thick" w:color="0462C1"/>
          </w:rPr>
          <w:t xml:space="preserve"> </w:t>
        </w:r>
        <w:r>
          <w:rPr>
            <w:b/>
            <w:color w:val="0462C1"/>
            <w:u w:val="thick" w:color="0462C1"/>
          </w:rPr>
          <w:t>Research</w:t>
        </w:r>
      </w:hyperlink>
      <w:r>
        <w:rPr>
          <w:b/>
          <w:color w:val="0462C1"/>
        </w:rPr>
        <w:t xml:space="preserve"> </w:t>
      </w:r>
      <w:hyperlink r:id="rId7">
        <w:r>
          <w:rPr>
            <w:b/>
            <w:color w:val="0462C1"/>
            <w:u w:val="single" w:color="0462C1"/>
          </w:rPr>
          <w:t>Promotion Policy of May 2017</w:t>
        </w:r>
        <w:r>
          <w:rPr>
            <w:color w:val="0462C1"/>
            <w:u w:val="single" w:color="0462C1"/>
          </w:rPr>
          <w:t>’</w:t>
        </w:r>
      </w:hyperlink>
      <w:r>
        <w:t xml:space="preserve">. The university provides the research support through </w:t>
      </w:r>
      <w:hyperlink r:id="rId8">
        <w:r>
          <w:rPr>
            <w:b/>
            <w:color w:val="0462C1"/>
            <w:u w:val="single" w:color="0462C1"/>
          </w:rPr>
          <w:t>seed</w:t>
        </w:r>
      </w:hyperlink>
      <w:r>
        <w:rPr>
          <w:b/>
          <w:color w:val="0462C1"/>
        </w:rPr>
        <w:t xml:space="preserve"> </w:t>
      </w:r>
      <w:hyperlink r:id="rId9">
        <w:r>
          <w:rPr>
            <w:b/>
            <w:color w:val="0462C1"/>
            <w:u w:val="single" w:color="0462C1"/>
          </w:rPr>
          <w:t>money grant</w:t>
        </w:r>
      </w:hyperlink>
      <w:r>
        <w:rPr>
          <w:b/>
          <w:color w:val="0462C1"/>
        </w:rPr>
        <w:t xml:space="preserve"> </w:t>
      </w:r>
      <w:r>
        <w:rPr>
          <w:b/>
        </w:rPr>
        <w:t>to faculties and PhD research fellowship</w:t>
      </w:r>
      <w:r>
        <w:t>. To encourage faculty members for quality research output, CUTM designed and implemented research incentive policy in May 2019</w:t>
      </w:r>
      <w:r>
        <w:rPr>
          <w:spacing w:val="-8"/>
        </w:rPr>
        <w:t xml:space="preserve"> </w:t>
      </w:r>
      <w:r>
        <w:t>followed</w:t>
      </w:r>
      <w:r>
        <w:rPr>
          <w:spacing w:val="-8"/>
        </w:rPr>
        <w:t xml:space="preserve"> </w:t>
      </w:r>
      <w:r>
        <w:t>by</w:t>
      </w:r>
      <w:r>
        <w:rPr>
          <w:spacing w:val="-13"/>
        </w:rPr>
        <w:t xml:space="preserve"> </w:t>
      </w:r>
      <w:r>
        <w:t>“</w:t>
      </w:r>
      <w:r>
        <w:rPr>
          <w:b/>
        </w:rPr>
        <w:t>Provost’s</w:t>
      </w:r>
      <w:r>
        <w:rPr>
          <w:b/>
          <w:spacing w:val="-8"/>
        </w:rPr>
        <w:t xml:space="preserve"> </w:t>
      </w:r>
      <w:r>
        <w:rPr>
          <w:b/>
        </w:rPr>
        <w:t>r</w:t>
      </w:r>
      <w:r>
        <w:rPr>
          <w:b/>
        </w:rPr>
        <w:t>esearch</w:t>
      </w:r>
      <w:r>
        <w:rPr>
          <w:b/>
          <w:spacing w:val="-8"/>
        </w:rPr>
        <w:t xml:space="preserve"> </w:t>
      </w:r>
      <w:r>
        <w:rPr>
          <w:b/>
        </w:rPr>
        <w:t>award</w:t>
      </w:r>
      <w:r>
        <w:t>”</w:t>
      </w:r>
      <w:r>
        <w:rPr>
          <w:spacing w:val="-9"/>
        </w:rPr>
        <w:t xml:space="preserve"> </w:t>
      </w:r>
      <w:r>
        <w:t>which</w:t>
      </w:r>
      <w:r>
        <w:rPr>
          <w:spacing w:val="-9"/>
        </w:rPr>
        <w:t xml:space="preserve"> </w:t>
      </w:r>
      <w:r>
        <w:t>is</w:t>
      </w:r>
      <w:r>
        <w:rPr>
          <w:spacing w:val="-8"/>
        </w:rPr>
        <w:t xml:space="preserve"> </w:t>
      </w:r>
      <w:r>
        <w:t>implemented</w:t>
      </w:r>
      <w:r>
        <w:rPr>
          <w:spacing w:val="-9"/>
        </w:rPr>
        <w:t xml:space="preserve"> </w:t>
      </w:r>
      <w:r>
        <w:t>on</w:t>
      </w:r>
      <w:r>
        <w:rPr>
          <w:spacing w:val="-8"/>
        </w:rPr>
        <w:t xml:space="preserve"> </w:t>
      </w:r>
      <w:r>
        <w:t>September</w:t>
      </w:r>
      <w:r>
        <w:rPr>
          <w:spacing w:val="-9"/>
        </w:rPr>
        <w:t xml:space="preserve"> </w:t>
      </w:r>
      <w:r>
        <w:t>2020</w:t>
      </w:r>
      <w:r>
        <w:rPr>
          <w:spacing w:val="-8"/>
        </w:rPr>
        <w:t xml:space="preserve"> </w:t>
      </w:r>
      <w:r>
        <w:t xml:space="preserve">and subsequently upgraded in January 2022. These incentives acknowledge the publications, patents, products, start-ups, consultancy and extra mural projects. </w:t>
      </w:r>
      <w:r>
        <w:t>It is important to note that the research focus of RCs and faculties address almost all the SDGs of United Nations either directly or indirectly.</w:t>
      </w:r>
      <w:bookmarkStart w:id="0" w:name="_GoBack"/>
      <w:bookmarkEnd w:id="0"/>
    </w:p>
    <w:sectPr w:rsidR="00381E9D">
      <w:type w:val="continuous"/>
      <w:pgSz w:w="11910" w:h="16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9D"/>
    <w:rsid w:val="00381E9D"/>
    <w:rsid w:val="00D473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91EA5-D572-4E08-946C-F45A584C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utm.ac.in/download-pdf/?pname=/wp-content/uploads/About/Seed-Money-Policy&amp;catID" TargetMode="External"/><Relationship Id="rId3" Type="http://schemas.openxmlformats.org/officeDocument/2006/relationships/webSettings" Target="webSettings.xml"/><Relationship Id="rId7" Type="http://schemas.openxmlformats.org/officeDocument/2006/relationships/hyperlink" Target="https://cutm.ac.in/download-pdf/?pname=/wp-content/uploads/About/Policy_for_Promotion_of_Research&amp;cat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tm.ac.in/download-pdf/?pname=/wp-content/uploads/About/Policy_for_Promotion_of_Research&amp;catID" TargetMode="External"/><Relationship Id="rId11" Type="http://schemas.openxmlformats.org/officeDocument/2006/relationships/theme" Target="theme/theme1.xml"/><Relationship Id="rId5" Type="http://schemas.openxmlformats.org/officeDocument/2006/relationships/hyperlink" Target="https://cutm.ac.in/wp-content/uploads/2022/booklet/Research-Centers-Booklet.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cutm.ac.in/download-pdf/?pname=/wp-content/uploads/About/Seed-Money-Policy&amp;ca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chhayabrita maji</dc:creator>
  <cp:lastModifiedBy>CUTM</cp:lastModifiedBy>
  <cp:revision>2</cp:revision>
  <dcterms:created xsi:type="dcterms:W3CDTF">2024-05-04T10:45:00Z</dcterms:created>
  <dcterms:modified xsi:type="dcterms:W3CDTF">2024-05-04T10:45:00Z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2016</vt:lpwstr>
  </property>
  <property fmtid="{D5CDD505-2E9C-101B-9397-08002B2CF9AE}" pid="4" name="LastSaved">
    <vt:filetime>2024-05-04T00:00:00Z</vt:filetime>
  </property>
  <property fmtid="{D5CDD505-2E9C-101B-9397-08002B2CF9AE}" pid="5" name="Producer">
    <vt:lpwstr>Microsoft® Word 2016</vt:lpwstr>
  </property>
</Properties>
</file>